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115FD4">
              <w:t xml:space="preserve">оселения </w:t>
            </w:r>
            <w:proofErr w:type="spellStart"/>
            <w:r w:rsidR="00115FD4">
              <w:t>Лабинского</w:t>
            </w:r>
            <w:proofErr w:type="spellEnd"/>
            <w:r w:rsidR="00115FD4">
              <w:t xml:space="preserve"> района от 27.11</w:t>
            </w:r>
            <w:r w:rsidR="008F4585" w:rsidRPr="008F4585">
              <w:t xml:space="preserve">.2024 </w:t>
            </w:r>
            <w:r w:rsidR="008F4585" w:rsidRPr="002D5042">
              <w:t>г. №</w:t>
            </w:r>
            <w:r w:rsidR="00115FD4">
              <w:t xml:space="preserve"> 11/4</w:t>
            </w:r>
            <w:r w:rsidR="002D5042" w:rsidRPr="002D5042">
              <w:t xml:space="preserve"> </w:t>
            </w:r>
            <w:r w:rsidR="008F4585" w:rsidRPr="002D5042">
              <w:t>«О внес</w:t>
            </w:r>
            <w:r w:rsidR="00115FD4">
              <w:t xml:space="preserve">ении изменений в решение Совета </w:t>
            </w:r>
            <w:proofErr w:type="spellStart"/>
            <w:r w:rsidR="008F4585" w:rsidRPr="002D5042">
              <w:t>Зассовского</w:t>
            </w:r>
            <w:proofErr w:type="spellEnd"/>
            <w:r w:rsidR="008F4585" w:rsidRPr="002D5042">
              <w:t xml:space="preserve"> сельского поселения </w:t>
            </w:r>
            <w:proofErr w:type="spellStart"/>
            <w:r w:rsidR="008F4585" w:rsidRPr="002D5042">
              <w:t>Лабинского</w:t>
            </w:r>
            <w:proofErr w:type="spellEnd"/>
            <w:r w:rsidR="008F4585" w:rsidRPr="002D5042">
              <w:t xml:space="preserve"> района от 25</w:t>
            </w:r>
            <w:r w:rsidR="008F4585" w:rsidRPr="008F4585">
              <w:t xml:space="preserve">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855330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25059,5</w:t>
            </w:r>
            <w:bookmarkStart w:id="0" w:name="_GoBack"/>
            <w:bookmarkEnd w:id="0"/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5657,1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</w:pPr>
            <w: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4241,0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85533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19219,8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5D0188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FD1602">
              <w:rPr>
                <w:b/>
                <w:szCs w:val="28"/>
              </w:rPr>
              <w:t>6</w:t>
            </w:r>
            <w:r>
              <w:rPr>
                <w:b/>
                <w:szCs w:val="28"/>
              </w:rPr>
              <w:t>1</w:t>
            </w:r>
            <w:r w:rsidR="00FD1602">
              <w:rPr>
                <w:b/>
                <w:szCs w:val="28"/>
              </w:rPr>
              <w:t>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1618</w:t>
            </w:r>
            <w:r w:rsidR="00FD1602">
              <w:rPr>
                <w:bCs/>
                <w:szCs w:val="28"/>
              </w:rPr>
              <w:t>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</w:t>
            </w:r>
            <w:r w:rsidR="00FD1602">
              <w:rPr>
                <w:bCs/>
                <w:szCs w:val="28"/>
              </w:rPr>
              <w:t>6,8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74</w:t>
            </w:r>
            <w:r w:rsidR="00FD1602">
              <w:rPr>
                <w:bCs/>
                <w:szCs w:val="28"/>
              </w:rPr>
              <w:t>4,8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</w:t>
            </w:r>
            <w:r w:rsidR="005D0188">
              <w:rPr>
                <w:b/>
                <w:bCs/>
                <w:szCs w:val="28"/>
              </w:rPr>
              <w:t>6</w:t>
            </w:r>
            <w:r>
              <w:rPr>
                <w:b/>
                <w:bCs/>
                <w:szCs w:val="28"/>
              </w:rPr>
              <w:t>5,7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</w:pPr>
            <w:r>
              <w:t>9</w:t>
            </w:r>
            <w:r w:rsidR="005D0188">
              <w:t>6</w:t>
            </w:r>
            <w:r>
              <w:t>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80CF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6048,5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D80CF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6048,5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37575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D80CF4">
              <w:rPr>
                <w:bCs/>
                <w:szCs w:val="28"/>
              </w:rPr>
              <w:t>648,5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5B7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4038,7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5D018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1594,8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 xml:space="preserve">Иные межбюджетные трансферты на дополнительную помощь местным бюджетам </w:t>
            </w:r>
            <w:r w:rsidRPr="001D19C4">
              <w:lastRenderedPageBreak/>
              <w:t>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D80CF4">
              <w:rPr>
                <w:b/>
                <w:bCs/>
                <w:szCs w:val="28"/>
              </w:rPr>
              <w:t>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80CF4">
              <w:rPr>
                <w:bCs/>
                <w:szCs w:val="28"/>
              </w:rPr>
              <w:t>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471,6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80CF4" w:rsidP="00FB7865">
            <w:pPr>
              <w:jc w:val="center"/>
              <w:rPr>
                <w:bCs/>
                <w:szCs w:val="28"/>
              </w:rPr>
            </w:pPr>
            <w:r>
              <w:t>461,6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406C0" w:rsidP="00FB78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5D0188">
              <w:rPr>
                <w:b/>
              </w:rPr>
              <w:t>3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5D0188">
              <w:rPr>
                <w:bCs/>
                <w:szCs w:val="28"/>
              </w:rPr>
              <w:t>3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115FD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115FD4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15FD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355,1</w:t>
            </w:r>
          </w:p>
        </w:tc>
      </w:tr>
      <w:tr w:rsidR="00DD6C32" w:rsidRPr="000A148D" w:rsidTr="00115FD4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15FD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355,1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86336"/>
    <w:rsid w:val="00096DB6"/>
    <w:rsid w:val="000B1F2A"/>
    <w:rsid w:val="00104A29"/>
    <w:rsid w:val="00115FD4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4760E"/>
    <w:rsid w:val="005653E0"/>
    <w:rsid w:val="005B718B"/>
    <w:rsid w:val="005D0188"/>
    <w:rsid w:val="0060605B"/>
    <w:rsid w:val="006663E1"/>
    <w:rsid w:val="0067315C"/>
    <w:rsid w:val="006A6BFD"/>
    <w:rsid w:val="006B7CC4"/>
    <w:rsid w:val="006D0D76"/>
    <w:rsid w:val="007159B4"/>
    <w:rsid w:val="007263C7"/>
    <w:rsid w:val="00731E48"/>
    <w:rsid w:val="007406C0"/>
    <w:rsid w:val="0074132D"/>
    <w:rsid w:val="007449C8"/>
    <w:rsid w:val="007A49ED"/>
    <w:rsid w:val="007B3490"/>
    <w:rsid w:val="007E03E7"/>
    <w:rsid w:val="007E4E0B"/>
    <w:rsid w:val="007F3B66"/>
    <w:rsid w:val="00822786"/>
    <w:rsid w:val="00837575"/>
    <w:rsid w:val="00855330"/>
    <w:rsid w:val="008A3037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72489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063C9"/>
    <w:rsid w:val="00B34A2B"/>
    <w:rsid w:val="00B41F57"/>
    <w:rsid w:val="00B5260C"/>
    <w:rsid w:val="00BD5DBF"/>
    <w:rsid w:val="00CB0A96"/>
    <w:rsid w:val="00CB3094"/>
    <w:rsid w:val="00D002AA"/>
    <w:rsid w:val="00D100B8"/>
    <w:rsid w:val="00D61230"/>
    <w:rsid w:val="00D7108F"/>
    <w:rsid w:val="00D80CF4"/>
    <w:rsid w:val="00DD014F"/>
    <w:rsid w:val="00DD6C32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B327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FC60F-3597-42E6-A8FC-D0E692F1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5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111</cp:revision>
  <cp:lastPrinted>2023-12-21T12:08:00Z</cp:lastPrinted>
  <dcterms:created xsi:type="dcterms:W3CDTF">2020-01-10T05:52:00Z</dcterms:created>
  <dcterms:modified xsi:type="dcterms:W3CDTF">2024-11-26T12:45:00Z</dcterms:modified>
</cp:coreProperties>
</file>